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D83F1" w14:textId="34B5D612" w:rsidR="00627E0A" w:rsidRPr="007D725F" w:rsidRDefault="007D725F" w:rsidP="008B5A45">
      <w:pPr>
        <w:jc w:val="center"/>
        <w:rPr>
          <w:b/>
          <w:bCs/>
          <w:sz w:val="32"/>
          <w:szCs w:val="32"/>
        </w:rPr>
      </w:pPr>
      <w:r>
        <w:rPr>
          <w:b/>
          <w:sz w:val="32"/>
        </w:rPr>
        <w:t>Compétences en lecture et en mathématiques des élèves de 15 ans dans les écoles de langue officielle minoritaire</w:t>
      </w:r>
    </w:p>
    <w:p w14:paraId="40766A0D" w14:textId="77777777" w:rsidR="00627E0A" w:rsidRDefault="00627E0A" w:rsidP="00627E0A">
      <w:pPr>
        <w:jc w:val="center"/>
        <w:rPr>
          <w:i/>
          <w:iCs/>
        </w:rPr>
      </w:pPr>
    </w:p>
    <w:p w14:paraId="59AB1373" w14:textId="0836FC36" w:rsidR="007D725F" w:rsidRDefault="007D725F" w:rsidP="00627E0A">
      <w:pPr>
        <w:jc w:val="center"/>
        <w:rPr>
          <w:i/>
          <w:iCs/>
        </w:rPr>
      </w:pPr>
      <w:r>
        <w:rPr>
          <w:i/>
        </w:rPr>
        <w:t>Étude préparée par Michela Planatscher et Edouard Imbeau, Division de la recherche sur les compétences et le marché du travail, Direction de la politique économique, octobre 2025</w:t>
      </w:r>
    </w:p>
    <w:p w14:paraId="211EF0AB" w14:textId="77777777" w:rsidR="00627E0A" w:rsidRPr="007D725F" w:rsidRDefault="00627E0A" w:rsidP="00627E0A">
      <w:pPr>
        <w:jc w:val="center"/>
      </w:pPr>
    </w:p>
    <w:p w14:paraId="152A636E" w14:textId="6E6C38CA" w:rsidR="003A130A" w:rsidRPr="003A130A" w:rsidRDefault="007D725F" w:rsidP="003A130A">
      <w:pPr>
        <w:jc w:val="center"/>
        <w:rPr>
          <w:b/>
          <w:bCs/>
          <w:sz w:val="32"/>
          <w:szCs w:val="32"/>
        </w:rPr>
      </w:pPr>
      <w:r>
        <w:rPr>
          <w:b/>
          <w:sz w:val="32"/>
        </w:rPr>
        <w:t>Sommaire</w:t>
      </w:r>
    </w:p>
    <w:p w14:paraId="50044E7D" w14:textId="75B1521D" w:rsidR="007D725F" w:rsidRPr="007D725F" w:rsidRDefault="003A130A" w:rsidP="007D725F">
      <w:r>
        <w:br/>
        <w:t xml:space="preserve">Le présent rapport se fonde sur les données de 2022 du Programme international pour le suivi des acquis des élèves (PISA) aux fins de l’analyse de l’écart de compétence en lecture et en mathématiques entre les élèves de 15 ans qui fréquentent une école de langue officielle en situation minoritaire (ELOSM) et ceux qui </w:t>
      </w:r>
      <w:r w:rsidR="003434FF" w:rsidRPr="003434FF">
        <w:t xml:space="preserve">fréquentent des écoles de langue officielle </w:t>
      </w:r>
      <w:proofErr w:type="gramStart"/>
      <w:r w:rsidR="003434FF" w:rsidRPr="003434FF">
        <w:t>majoritaire</w:t>
      </w:r>
      <w:r w:rsidR="003434FF">
        <w:t xml:space="preserve"> </w:t>
      </w:r>
      <w:r>
        <w:t>.</w:t>
      </w:r>
      <w:proofErr w:type="gramEnd"/>
      <w:r>
        <w:t xml:space="preserve"> En outre, il examine les caractéristiques des élèves, des parents, des enseignants ou de l’école qui expliquent l’écart de compétence. </w:t>
      </w:r>
    </w:p>
    <w:p w14:paraId="5043F4C4" w14:textId="77777777" w:rsidR="007D725F" w:rsidRPr="007D725F" w:rsidRDefault="007D725F" w:rsidP="007D725F">
      <w:r>
        <w:t xml:space="preserve">Une ELOSM est une école où la langue d’enseignement est l’anglais au Québec et le français en dehors du Québec. D’après la définition, une ELOSM est également située dans une communauté de langue officielle en situation minoritaire (CLOSM). Il est important de souligner qu’une école qui n’est pas une ELOSM peut également être située dans une CLOSM. Cette nuance ne peut toutefois pas être discernée dans les données. </w:t>
      </w:r>
    </w:p>
    <w:p w14:paraId="5A11D77F" w14:textId="271A18A8" w:rsidR="007D725F" w:rsidRPr="007D725F" w:rsidRDefault="007D725F" w:rsidP="007D725F">
      <w:r>
        <w:t xml:space="preserve">L’écart de compétence entre les écoles en situation minoritaire et les écoles en situation majoritaire désigne la différence entre les résultats en lecture et en mathématiques obtenus à l’évaluation du PISA. Les résultats sont mesurés par le score moyen des élèves, mais peuvent également être répartis en six niveaux de compétence. Un niveau inférieur à 2 indique un faible niveau de compétence. </w:t>
      </w:r>
    </w:p>
    <w:p w14:paraId="79850A3C" w14:textId="77777777" w:rsidR="007D725F" w:rsidRPr="007D725F" w:rsidRDefault="007D725F" w:rsidP="007D725F">
      <w:r>
        <w:rPr>
          <w:b/>
          <w:i/>
        </w:rPr>
        <w:t xml:space="preserve">Quels facteurs permettent d’expliquer l’écart de compétence en lecture dans les ELOSM situées à l’extérieur du Québec? </w:t>
      </w:r>
    </w:p>
    <w:p w14:paraId="7FE69D99" w14:textId="77777777" w:rsidR="007D725F" w:rsidRPr="007D725F" w:rsidRDefault="007D725F" w:rsidP="007D725F">
      <w:r>
        <w:t xml:space="preserve">Le score moyen en lecture dans les ELOSM est inférieur à celui des écoles en situation majoritaire de 63 points. Cinq caractéristiques des ELOSM expliquent en partie cet écart : </w:t>
      </w:r>
    </w:p>
    <w:p w14:paraId="4D38F5E2" w14:textId="77777777" w:rsidR="007D725F" w:rsidRPr="007D725F" w:rsidRDefault="007D725F" w:rsidP="00A572D6">
      <w:pPr>
        <w:pStyle w:val="ListParagraph"/>
        <w:numPr>
          <w:ilvl w:val="0"/>
          <w:numId w:val="2"/>
        </w:numPr>
      </w:pPr>
      <w:proofErr w:type="gramStart"/>
      <w:r>
        <w:rPr>
          <w:b/>
          <w:bCs/>
        </w:rPr>
        <w:t>un</w:t>
      </w:r>
      <w:proofErr w:type="gramEnd"/>
      <w:r>
        <w:t xml:space="preserve"> </w:t>
      </w:r>
      <w:r>
        <w:rPr>
          <w:b/>
        </w:rPr>
        <w:t xml:space="preserve">plus grand nombre d’étudiants travaillant </w:t>
      </w:r>
      <w:r>
        <w:t xml:space="preserve">au moins un jour par semaine (cause de 7 points d’écart); </w:t>
      </w:r>
    </w:p>
    <w:p w14:paraId="1D3DD052" w14:textId="4D492287" w:rsidR="007D725F" w:rsidRPr="007D725F" w:rsidRDefault="007D725F" w:rsidP="00A572D6">
      <w:pPr>
        <w:pStyle w:val="ListParagraph"/>
        <w:numPr>
          <w:ilvl w:val="0"/>
          <w:numId w:val="2"/>
        </w:numPr>
      </w:pPr>
      <w:proofErr w:type="gramStart"/>
      <w:r>
        <w:t>une</w:t>
      </w:r>
      <w:proofErr w:type="gramEnd"/>
      <w:r>
        <w:t xml:space="preserve"> plus grande proportion d’élèves non immigrants </w:t>
      </w:r>
      <w:r>
        <w:rPr>
          <w:b/>
        </w:rPr>
        <w:t xml:space="preserve">parlant à la maison une autre langue que la langue d’enseignement à l’école </w:t>
      </w:r>
      <w:r>
        <w:t xml:space="preserve">(cause de 5 points d’écart); </w:t>
      </w:r>
    </w:p>
    <w:p w14:paraId="676D9EDF" w14:textId="77777777" w:rsidR="007D725F" w:rsidRPr="007D725F" w:rsidRDefault="007D725F" w:rsidP="00A572D6">
      <w:pPr>
        <w:pStyle w:val="ListParagraph"/>
        <w:numPr>
          <w:ilvl w:val="0"/>
          <w:numId w:val="2"/>
        </w:numPr>
      </w:pPr>
      <w:proofErr w:type="gramStart"/>
      <w:r>
        <w:t>une</w:t>
      </w:r>
      <w:proofErr w:type="gramEnd"/>
      <w:r>
        <w:t xml:space="preserve"> plus faible proportion d’</w:t>
      </w:r>
      <w:r>
        <w:rPr>
          <w:b/>
          <w:bCs/>
        </w:rPr>
        <w:t>élèves immigrants de deuxième génération</w:t>
      </w:r>
      <w:r>
        <w:t xml:space="preserve"> parlant la même langue à la maison que la langue d’enseignement à l’école (cause de 2 points d’écart); </w:t>
      </w:r>
    </w:p>
    <w:p w14:paraId="7374BCFB" w14:textId="77777777" w:rsidR="007D725F" w:rsidRPr="007D725F" w:rsidRDefault="007D725F" w:rsidP="00A572D6">
      <w:pPr>
        <w:pStyle w:val="ListParagraph"/>
        <w:numPr>
          <w:ilvl w:val="0"/>
          <w:numId w:val="2"/>
        </w:numPr>
      </w:pPr>
      <w:proofErr w:type="gramStart"/>
      <w:r>
        <w:t>un</w:t>
      </w:r>
      <w:proofErr w:type="gramEnd"/>
      <w:r>
        <w:t xml:space="preserve"> plus grand nombre d’élèves fréquentant une </w:t>
      </w:r>
      <w:r>
        <w:rPr>
          <w:b/>
        </w:rPr>
        <w:t xml:space="preserve">école rurale </w:t>
      </w:r>
      <w:r>
        <w:t xml:space="preserve">(cause de 2 points d’écart); </w:t>
      </w:r>
    </w:p>
    <w:p w14:paraId="17C7BD95" w14:textId="1A21BADC" w:rsidR="007D725F" w:rsidRPr="007D725F" w:rsidRDefault="007D725F" w:rsidP="007D725F">
      <w:pPr>
        <w:pStyle w:val="ListParagraph"/>
        <w:numPr>
          <w:ilvl w:val="0"/>
          <w:numId w:val="2"/>
        </w:numPr>
      </w:pPr>
      <w:proofErr w:type="gramStart"/>
      <w:r>
        <w:t>un</w:t>
      </w:r>
      <w:proofErr w:type="gramEnd"/>
      <w:r>
        <w:t xml:space="preserve"> plus grand nombre d’élèves ayant des </w:t>
      </w:r>
      <w:r>
        <w:rPr>
          <w:b/>
        </w:rPr>
        <w:t xml:space="preserve">parents qui montrent peu d’intérêt </w:t>
      </w:r>
      <w:r>
        <w:t xml:space="preserve">pour la vie scolaire de leurs enfants (cause de 1 point d’écart). </w:t>
      </w:r>
    </w:p>
    <w:p w14:paraId="300AFCC4" w14:textId="0E846A3D" w:rsidR="007A371E" w:rsidRDefault="007D725F" w:rsidP="007D725F">
      <w:r>
        <w:lastRenderedPageBreak/>
        <w:t>La plupart des caractéristiques à l’origine de l’écart de compétence en lecture expliquent aussi en partie pourquoi les écoles en situation minoritaire ont deux fois plus d’élèves dont le niveau de compétence est faible (36 %) que les écoles en situation majoritaire. Ces cinq</w:t>
      </w:r>
      <w:r w:rsidR="00852A6A">
        <w:t> </w:t>
      </w:r>
      <w:r>
        <w:t>mêmes caractéristiques et une</w:t>
      </w:r>
      <w:r w:rsidR="00852A6A">
        <w:t> </w:t>
      </w:r>
      <w:r>
        <w:t xml:space="preserve">autre </w:t>
      </w:r>
      <w:proofErr w:type="gramStart"/>
      <w:r>
        <w:t>permettent</w:t>
      </w:r>
      <w:proofErr w:type="gramEnd"/>
      <w:r>
        <w:t xml:space="preserve"> également d’expliquer l’écart de compétence en lecture à l’échelle provinciale.</w:t>
      </w:r>
    </w:p>
    <w:p w14:paraId="4CE23284" w14:textId="1C953F04" w:rsidR="0059604C" w:rsidRPr="0059604C" w:rsidRDefault="0059604C" w:rsidP="0059604C">
      <w:r>
        <w:rPr>
          <w:b/>
          <w:i/>
        </w:rPr>
        <w:t xml:space="preserve">Quels facteurs permettent d’expliquer l’écart de compétence en mathématiques dans les ELOSM situées à l’extérieur du Québec? </w:t>
      </w:r>
    </w:p>
    <w:p w14:paraId="1CB8C906" w14:textId="14821330" w:rsidR="0059604C" w:rsidRPr="0059604C" w:rsidRDefault="0059604C" w:rsidP="0059604C">
      <w:r>
        <w:t xml:space="preserve">Le score moyen en mathématiques dans les ELOSM hors Québec est inférieur à celui des écoles en situation majoritaire de 17 points. Cet écart s’explique par trois facteurs : </w:t>
      </w:r>
      <w:r>
        <w:rPr>
          <w:b/>
        </w:rPr>
        <w:t xml:space="preserve">les élèves qui travaillent </w:t>
      </w:r>
      <w:r>
        <w:t>(4</w:t>
      </w:r>
      <w:r w:rsidR="00183062">
        <w:t> </w:t>
      </w:r>
      <w:r>
        <w:t xml:space="preserve">points), </w:t>
      </w:r>
      <w:r>
        <w:rPr>
          <w:b/>
        </w:rPr>
        <w:t xml:space="preserve">le faible intérêt des parents </w:t>
      </w:r>
      <w:r>
        <w:t xml:space="preserve">(1point) et </w:t>
      </w:r>
      <w:r>
        <w:rPr>
          <w:b/>
        </w:rPr>
        <w:t xml:space="preserve">les élèves immigrants de deuxième génération </w:t>
      </w:r>
      <w:r>
        <w:t>qui parlent la même langue à la maison que la langue d’enseignement à l’école (1</w:t>
      </w:r>
      <w:r w:rsidR="00183062">
        <w:t> </w:t>
      </w:r>
      <w:r>
        <w:t xml:space="preserve">point). Une fois </w:t>
      </w:r>
      <w:r w:rsidR="003434FF">
        <w:t xml:space="preserve">que </w:t>
      </w:r>
      <w:r>
        <w:t>les caractéristiques</w:t>
      </w:r>
      <w:r w:rsidR="003434FF">
        <w:t xml:space="preserve"> ont </w:t>
      </w:r>
      <w:r w:rsidR="003434FF" w:rsidRPr="003434FF">
        <w:t>é</w:t>
      </w:r>
      <w:r w:rsidR="003434FF">
        <w:t>t</w:t>
      </w:r>
      <w:r w:rsidR="003434FF" w:rsidRPr="003434FF">
        <w:t>é</w:t>
      </w:r>
      <w:r>
        <w:t xml:space="preserve"> prises en considération, il ne subsiste aucune différence statistiquement significative entre les résultats en mathématiques des élèves des écoles de la minorité francophone et des écoles de la majorité anglophone. </w:t>
      </w:r>
    </w:p>
    <w:p w14:paraId="7804A133" w14:textId="249F3720" w:rsidR="0059604C" w:rsidRPr="0059604C" w:rsidRDefault="0059604C" w:rsidP="0059604C">
      <w:r>
        <w:rPr>
          <w:b/>
          <w:i/>
        </w:rPr>
        <w:t xml:space="preserve">Quels facteurs permettent d’expliquer l’écart de compétence en mathématiques dans les ELOSM situées au Québec? </w:t>
      </w:r>
    </w:p>
    <w:p w14:paraId="64A9204E" w14:textId="433D08DA" w:rsidR="0059604C" w:rsidRPr="0059604C" w:rsidRDefault="0059604C" w:rsidP="0059604C">
      <w:r>
        <w:t>Il convient tout d’abord de souligner qu’il n’y a pas d’écart de compétence en lecture au Québec. Toutefois, le score moyen en mathématiques dans les ELOSM est inférieur à celui des écoles en situation majoritaire de 15 points. Deux</w:t>
      </w:r>
      <w:r w:rsidR="00C3643A">
        <w:t> </w:t>
      </w:r>
      <w:r>
        <w:t xml:space="preserve">facteurs expliquent en partie cet écart. Premièrement, un plus grand nombre d’élèves fréquentent une </w:t>
      </w:r>
      <w:r>
        <w:rPr>
          <w:b/>
        </w:rPr>
        <w:t xml:space="preserve">école publique </w:t>
      </w:r>
      <w:r>
        <w:t>dans le système d’éducation en situation minoritaire (cause de 4 points d’écart). Deuxièmement, les ELOSM comptent une plus forte proportion d’</w:t>
      </w:r>
      <w:r>
        <w:rPr>
          <w:b/>
          <w:bCs/>
        </w:rPr>
        <w:t>élèves non immigrants qui parlent à la maison une autre langue</w:t>
      </w:r>
      <w:r>
        <w:t xml:space="preserve"> que la langue d’enseignement à l’école (cause de 2 points d’écart). </w:t>
      </w:r>
    </w:p>
    <w:p w14:paraId="29DED599" w14:textId="2EA81F4B" w:rsidR="0059604C" w:rsidRDefault="0059604C" w:rsidP="0059604C">
      <w:r>
        <w:t xml:space="preserve">Dans l’ensemble, les résultats de l’étude recèlent des renseignements qui peuvent servir à soutenir les populations et les communautés linguistiques minoritaires. Il est également entendu que d’autres facteurs (qui ne figurent pas dans les données du PISA) peuvent expliquer l’écart qui subsiste en lecture ou en mathématiques, </w:t>
      </w:r>
      <w:r w:rsidR="00753AE5">
        <w:t>tels que</w:t>
      </w:r>
      <w:r w:rsidR="00C53BFE">
        <w:t xml:space="preserve"> </w:t>
      </w:r>
      <w:r>
        <w:t>les disparités de financement entre les écoles en situation minoritaire et les écoles en situation majoritaire et la maîtrise de la langue minoritaire par les enseignants.</w:t>
      </w:r>
    </w:p>
    <w:sectPr w:rsidR="0059604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CAF01" w14:textId="77777777" w:rsidR="00C3248D" w:rsidRDefault="00C3248D" w:rsidP="00945536">
      <w:pPr>
        <w:spacing w:after="0" w:line="240" w:lineRule="auto"/>
      </w:pPr>
      <w:r>
        <w:separator/>
      </w:r>
    </w:p>
  </w:endnote>
  <w:endnote w:type="continuationSeparator" w:id="0">
    <w:p w14:paraId="27B8E7B0" w14:textId="77777777" w:rsidR="00C3248D" w:rsidRDefault="00C3248D" w:rsidP="00945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D98C8" w14:textId="77777777" w:rsidR="00AF5AB3" w:rsidRDefault="00AF5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7883693"/>
      <w:docPartObj>
        <w:docPartGallery w:val="Page Numbers (Bottom of Page)"/>
        <w:docPartUnique/>
      </w:docPartObj>
    </w:sdtPr>
    <w:sdtEndPr>
      <w:rPr>
        <w:noProof/>
      </w:rPr>
    </w:sdtEndPr>
    <w:sdtContent>
      <w:p w14:paraId="45AFB7CC" w14:textId="622636DE" w:rsidR="00945536" w:rsidRDefault="00945536">
        <w:pPr>
          <w:pStyle w:val="Footer"/>
          <w:jc w:val="right"/>
        </w:pPr>
        <w:r>
          <w:fldChar w:fldCharType="begin"/>
        </w:r>
        <w:r>
          <w:instrText xml:space="preserve"> PAGE   \* MERGEFORMAT </w:instrText>
        </w:r>
        <w:r>
          <w:fldChar w:fldCharType="separate"/>
        </w:r>
        <w:r>
          <w:t>2</w:t>
        </w:r>
        <w:r>
          <w:fldChar w:fldCharType="end"/>
        </w:r>
      </w:p>
    </w:sdtContent>
  </w:sdt>
  <w:p w14:paraId="0C76E93B" w14:textId="77777777" w:rsidR="00945536" w:rsidRDefault="009455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B1569" w14:textId="77777777" w:rsidR="00AF5AB3" w:rsidRDefault="00AF5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54FAF" w14:textId="77777777" w:rsidR="00C3248D" w:rsidRDefault="00C3248D" w:rsidP="00945536">
      <w:pPr>
        <w:spacing w:after="0" w:line="240" w:lineRule="auto"/>
      </w:pPr>
      <w:r>
        <w:separator/>
      </w:r>
    </w:p>
  </w:footnote>
  <w:footnote w:type="continuationSeparator" w:id="0">
    <w:p w14:paraId="1B3C0D07" w14:textId="77777777" w:rsidR="00C3248D" w:rsidRDefault="00C3248D" w:rsidP="009455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C3BE4" w14:textId="77777777" w:rsidR="00AF5AB3" w:rsidRDefault="00AF5A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DB854" w14:textId="77777777" w:rsidR="00AF5AB3" w:rsidRDefault="00AF5A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2F1ED" w14:textId="77777777" w:rsidR="00AF5AB3" w:rsidRDefault="00AF5A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FA57B3"/>
    <w:multiLevelType w:val="hybridMultilevel"/>
    <w:tmpl w:val="7ED050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5352FE6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2BE5024"/>
    <w:multiLevelType w:val="hybridMultilevel"/>
    <w:tmpl w:val="4CBC55C6"/>
    <w:lvl w:ilvl="0" w:tplc="C4B4B7EC">
      <w:numFmt w:val="bullet"/>
      <w:lvlText w:val="-"/>
      <w:lvlJc w:val="left"/>
      <w:pPr>
        <w:ind w:left="720" w:hanging="360"/>
      </w:pPr>
      <w:rPr>
        <w:rFonts w:ascii="Aptos" w:eastAsiaTheme="minorHAnsi" w:hAnsi="Apto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841045531">
    <w:abstractNumId w:val="1"/>
  </w:num>
  <w:num w:numId="2" w16cid:durableId="2072608701">
    <w:abstractNumId w:val="0"/>
  </w:num>
  <w:num w:numId="3" w16cid:durableId="782387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67"/>
    <w:rsid w:val="00157C08"/>
    <w:rsid w:val="00183062"/>
    <w:rsid w:val="00291EF8"/>
    <w:rsid w:val="002A1588"/>
    <w:rsid w:val="00312F98"/>
    <w:rsid w:val="00332FFE"/>
    <w:rsid w:val="003434FF"/>
    <w:rsid w:val="003A130A"/>
    <w:rsid w:val="00506D66"/>
    <w:rsid w:val="0058347C"/>
    <w:rsid w:val="0059604C"/>
    <w:rsid w:val="00627E0A"/>
    <w:rsid w:val="00630A87"/>
    <w:rsid w:val="00731C57"/>
    <w:rsid w:val="00753AE5"/>
    <w:rsid w:val="007A371E"/>
    <w:rsid w:val="007C5210"/>
    <w:rsid w:val="007D59FC"/>
    <w:rsid w:val="007D725F"/>
    <w:rsid w:val="00824E92"/>
    <w:rsid w:val="0083661C"/>
    <w:rsid w:val="00852A6A"/>
    <w:rsid w:val="008B5A45"/>
    <w:rsid w:val="008E32B9"/>
    <w:rsid w:val="009013A4"/>
    <w:rsid w:val="00945536"/>
    <w:rsid w:val="00994687"/>
    <w:rsid w:val="00A0798C"/>
    <w:rsid w:val="00A168A1"/>
    <w:rsid w:val="00A44267"/>
    <w:rsid w:val="00A572D6"/>
    <w:rsid w:val="00AF5AB3"/>
    <w:rsid w:val="00BD6BF6"/>
    <w:rsid w:val="00BE2311"/>
    <w:rsid w:val="00C3248D"/>
    <w:rsid w:val="00C3643A"/>
    <w:rsid w:val="00C42096"/>
    <w:rsid w:val="00C53BFE"/>
    <w:rsid w:val="00CB38CC"/>
    <w:rsid w:val="00D80D39"/>
    <w:rsid w:val="00DD69EA"/>
    <w:rsid w:val="00DE1A8C"/>
    <w:rsid w:val="00E72F4A"/>
    <w:rsid w:val="00F876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D556"/>
  <w15:chartTrackingRefBased/>
  <w15:docId w15:val="{EF47E8E7-8A5D-4AAC-AD16-26A2C2E9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42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A442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A44267"/>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A44267"/>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A44267"/>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A442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42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42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42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4267"/>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A4426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A44267"/>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A44267"/>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A44267"/>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A442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42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42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4267"/>
    <w:rPr>
      <w:rFonts w:eastAsiaTheme="majorEastAsia" w:cstheme="majorBidi"/>
      <w:color w:val="272727" w:themeColor="text1" w:themeTint="D8"/>
    </w:rPr>
  </w:style>
  <w:style w:type="paragraph" w:styleId="Title">
    <w:name w:val="Title"/>
    <w:basedOn w:val="Normal"/>
    <w:next w:val="Normal"/>
    <w:link w:val="TitleChar"/>
    <w:uiPriority w:val="10"/>
    <w:qFormat/>
    <w:rsid w:val="00A442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42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42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42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4267"/>
    <w:pPr>
      <w:spacing w:before="160"/>
      <w:jc w:val="center"/>
    </w:pPr>
    <w:rPr>
      <w:i/>
      <w:iCs/>
      <w:color w:val="404040" w:themeColor="text1" w:themeTint="BF"/>
    </w:rPr>
  </w:style>
  <w:style w:type="character" w:customStyle="1" w:styleId="QuoteChar">
    <w:name w:val="Quote Char"/>
    <w:basedOn w:val="DefaultParagraphFont"/>
    <w:link w:val="Quote"/>
    <w:uiPriority w:val="29"/>
    <w:rsid w:val="00A44267"/>
    <w:rPr>
      <w:i/>
      <w:iCs/>
      <w:color w:val="404040" w:themeColor="text1" w:themeTint="BF"/>
    </w:rPr>
  </w:style>
  <w:style w:type="paragraph" w:styleId="ListParagraph">
    <w:name w:val="List Paragraph"/>
    <w:basedOn w:val="Normal"/>
    <w:uiPriority w:val="34"/>
    <w:qFormat/>
    <w:rsid w:val="00A44267"/>
    <w:pPr>
      <w:ind w:left="720"/>
      <w:contextualSpacing/>
    </w:pPr>
  </w:style>
  <w:style w:type="character" w:styleId="IntenseEmphasis">
    <w:name w:val="Intense Emphasis"/>
    <w:basedOn w:val="DefaultParagraphFont"/>
    <w:uiPriority w:val="21"/>
    <w:qFormat/>
    <w:rsid w:val="00A44267"/>
    <w:rPr>
      <w:i/>
      <w:iCs/>
      <w:color w:val="2E74B5" w:themeColor="accent1" w:themeShade="BF"/>
    </w:rPr>
  </w:style>
  <w:style w:type="paragraph" w:styleId="IntenseQuote">
    <w:name w:val="Intense Quote"/>
    <w:basedOn w:val="Normal"/>
    <w:next w:val="Normal"/>
    <w:link w:val="IntenseQuoteChar"/>
    <w:uiPriority w:val="30"/>
    <w:qFormat/>
    <w:rsid w:val="00A442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A44267"/>
    <w:rPr>
      <w:i/>
      <w:iCs/>
      <w:color w:val="2E74B5" w:themeColor="accent1" w:themeShade="BF"/>
    </w:rPr>
  </w:style>
  <w:style w:type="character" w:styleId="IntenseReference">
    <w:name w:val="Intense Reference"/>
    <w:basedOn w:val="DefaultParagraphFont"/>
    <w:uiPriority w:val="32"/>
    <w:qFormat/>
    <w:rsid w:val="00A44267"/>
    <w:rPr>
      <w:b/>
      <w:bCs/>
      <w:smallCaps/>
      <w:color w:val="2E74B5" w:themeColor="accent1" w:themeShade="BF"/>
      <w:spacing w:val="5"/>
    </w:rPr>
  </w:style>
  <w:style w:type="paragraph" w:styleId="Header">
    <w:name w:val="header"/>
    <w:basedOn w:val="Normal"/>
    <w:link w:val="HeaderChar"/>
    <w:uiPriority w:val="99"/>
    <w:unhideWhenUsed/>
    <w:rsid w:val="009455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536"/>
  </w:style>
  <w:style w:type="paragraph" w:styleId="Footer">
    <w:name w:val="footer"/>
    <w:basedOn w:val="Normal"/>
    <w:link w:val="FooterChar"/>
    <w:uiPriority w:val="99"/>
    <w:unhideWhenUsed/>
    <w:rsid w:val="009455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536"/>
  </w:style>
  <w:style w:type="character" w:styleId="CommentReference">
    <w:name w:val="annotation reference"/>
    <w:basedOn w:val="DefaultParagraphFont"/>
    <w:uiPriority w:val="99"/>
    <w:semiHidden/>
    <w:unhideWhenUsed/>
    <w:rsid w:val="009013A4"/>
    <w:rPr>
      <w:sz w:val="16"/>
      <w:szCs w:val="16"/>
    </w:rPr>
  </w:style>
  <w:style w:type="paragraph" w:styleId="CommentText">
    <w:name w:val="annotation text"/>
    <w:basedOn w:val="Normal"/>
    <w:link w:val="CommentTextChar"/>
    <w:uiPriority w:val="99"/>
    <w:unhideWhenUsed/>
    <w:rsid w:val="009013A4"/>
    <w:pPr>
      <w:spacing w:line="240" w:lineRule="auto"/>
    </w:pPr>
    <w:rPr>
      <w:sz w:val="20"/>
      <w:szCs w:val="20"/>
    </w:rPr>
  </w:style>
  <w:style w:type="character" w:customStyle="1" w:styleId="CommentTextChar">
    <w:name w:val="Comment Text Char"/>
    <w:basedOn w:val="DefaultParagraphFont"/>
    <w:link w:val="CommentText"/>
    <w:uiPriority w:val="99"/>
    <w:rsid w:val="009013A4"/>
    <w:rPr>
      <w:sz w:val="20"/>
      <w:szCs w:val="20"/>
    </w:rPr>
  </w:style>
  <w:style w:type="paragraph" w:styleId="CommentSubject">
    <w:name w:val="annotation subject"/>
    <w:basedOn w:val="CommentText"/>
    <w:next w:val="CommentText"/>
    <w:link w:val="CommentSubjectChar"/>
    <w:uiPriority w:val="99"/>
    <w:semiHidden/>
    <w:unhideWhenUsed/>
    <w:rsid w:val="009013A4"/>
    <w:rPr>
      <w:b/>
      <w:bCs/>
    </w:rPr>
  </w:style>
  <w:style w:type="character" w:customStyle="1" w:styleId="CommentSubjectChar">
    <w:name w:val="Comment Subject Char"/>
    <w:basedOn w:val="CommentTextChar"/>
    <w:link w:val="CommentSubject"/>
    <w:uiPriority w:val="99"/>
    <w:semiHidden/>
    <w:rsid w:val="009013A4"/>
    <w:rPr>
      <w:b/>
      <w:bCs/>
      <w:sz w:val="20"/>
      <w:szCs w:val="20"/>
    </w:rPr>
  </w:style>
  <w:style w:type="paragraph" w:styleId="Revision">
    <w:name w:val="Revision"/>
    <w:hidden/>
    <w:uiPriority w:val="99"/>
    <w:semiHidden/>
    <w:rsid w:val="003434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4201560">
      <w:bodyDiv w:val="1"/>
      <w:marLeft w:val="0"/>
      <w:marRight w:val="0"/>
      <w:marTop w:val="0"/>
      <w:marBottom w:val="0"/>
      <w:divBdr>
        <w:top w:val="none" w:sz="0" w:space="0" w:color="auto"/>
        <w:left w:val="none" w:sz="0" w:space="0" w:color="auto"/>
        <w:bottom w:val="none" w:sz="0" w:space="0" w:color="auto"/>
        <w:right w:val="none" w:sz="0" w:space="0" w:color="auto"/>
      </w:divBdr>
    </w:div>
    <w:div w:id="214423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inalis_x00e9_ xmlns="bec98ab0-c939-49a1-bdf8-a824b6abe8d9">false</Finalis_x00e9_>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XPJTHXDMYTKC-1148532594-24277</_dlc_DocId>
    <_dlc_DocIdUrl xmlns="4737b361-35a6-4908-86d4-6df482422a04">
      <Url>https://014gc.sharepoint.com/sites/LO_PartieVII-PartVII_OL/_layouts/15/DocIdRedir.aspx?ID=XPJTHXDMYTKC-1148532594-24277</Url>
      <Description>XPJTHXDMYTKC-1148532594-24277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5533AA-9DC3-4FD4-BA45-5D82946DB75F}"/>
</file>

<file path=customXml/itemProps2.xml><?xml version="1.0" encoding="utf-8"?>
<ds:datastoreItem xmlns:ds="http://schemas.openxmlformats.org/officeDocument/2006/customXml" ds:itemID="{FF61C7EE-7A85-44E6-8749-CA87A0380DC7}">
  <ds:schemaRefs>
    <ds:schemaRef ds:uri="http://schemas.microsoft.com/sharepoint/v3/contenttype/forms"/>
  </ds:schemaRefs>
</ds:datastoreItem>
</file>

<file path=customXml/itemProps3.xml><?xml version="1.0" encoding="utf-8"?>
<ds:datastoreItem xmlns:ds="http://schemas.openxmlformats.org/officeDocument/2006/customXml" ds:itemID="{AEF1CB90-3342-4994-95F8-72466E88209E}">
  <ds:schemaRefs>
    <ds:schemaRef ds:uri="http://schemas.microsoft.com/office/2006/metadata/properties"/>
    <ds:schemaRef ds:uri="http://schemas.microsoft.com/office/infopath/2007/PartnerControls"/>
    <ds:schemaRef ds:uri="432f6b1d-508a-40c4-9a17-97d0c324b822"/>
  </ds:schemaRefs>
</ds:datastoreItem>
</file>

<file path=customXml/itemProps4.xml><?xml version="1.0" encoding="utf-8"?>
<ds:datastoreItem xmlns:ds="http://schemas.openxmlformats.org/officeDocument/2006/customXml" ds:itemID="{AF4C7B8F-E527-406D-8303-CB246F7DF6C2}"/>
</file>

<file path=docMetadata/LabelInfo.xml><?xml version="1.0" encoding="utf-8"?>
<clbl:labelList xmlns:clbl="http://schemas.microsoft.com/office/2020/mipLabelMetadata">
  <clbl:label id="{9ed55846-8a81-4246-acd8-b1a01abfc0d1}" enabled="0" method="" siteId="{9ed55846-8a81-4246-acd8-b1a01abfc0d1}"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4316</Characters>
  <Application>Microsoft Office Word</Application>
  <DocSecurity>0</DocSecurity>
  <Lines>93</Lines>
  <Paragraphs>66</Paragraphs>
  <ScaleCrop>false</ScaleCrop>
  <Company>Gouvernement du Canada - Government of Canada</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2510030_SSPB-EDP-LMS note-Summary_FR_revisedEPD</dc:title>
  <dc:subject/>
  <dc:creator>Rodrigue-Racine, Savannah S [NC]</dc:creator>
  <cp:keywords/>
  <dc:description/>
  <cp:lastModifiedBy>Andzama, Firmin F [NC]</cp:lastModifiedBy>
  <cp:revision>3</cp:revision>
  <dcterms:created xsi:type="dcterms:W3CDTF">2025-10-21T19:21:00Z</dcterms:created>
  <dcterms:modified xsi:type="dcterms:W3CDTF">2025-11-07T18:22:00Z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91f32ce0-7868-469c-93a6-227f15d891ca</vt:lpwstr>
  </property>
  <property fmtid="{D5CDD505-2E9C-101B-9397-08002B2CF9AE}" pid="4" name="MediaServiceImageTags">
    <vt:lpwstr/>
  </property>
  <property fmtid="{D5CDD505-2E9C-101B-9397-08002B2CF9AE}" pid="5" name="MSIP_Label_834ed4f5-eae4-40c7-82be-b1cdf720a1b9_Enabled">
    <vt:lpwstr>true</vt:lpwstr>
  </property>
  <property fmtid="{D5CDD505-2E9C-101B-9397-08002B2CF9AE}" pid="6" name="MSIP_Label_834ed4f5-eae4-40c7-82be-b1cdf720a1b9_SetDate">
    <vt:lpwstr>2025-10-16T17:01:44Z</vt:lpwstr>
  </property>
  <property fmtid="{D5CDD505-2E9C-101B-9397-08002B2CF9AE}" pid="7" name="MSIP_Label_834ed4f5-eae4-40c7-82be-b1cdf720a1b9_Method">
    <vt:lpwstr>Standard</vt:lpwstr>
  </property>
  <property fmtid="{D5CDD505-2E9C-101B-9397-08002B2CF9AE}" pid="8" name="MSIP_Label_834ed4f5-eae4-40c7-82be-b1cdf720a1b9_Name">
    <vt:lpwstr>Unclassified - Non classifié</vt:lpwstr>
  </property>
  <property fmtid="{D5CDD505-2E9C-101B-9397-08002B2CF9AE}" pid="9" name="MSIP_Label_834ed4f5-eae4-40c7-82be-b1cdf720a1b9_SiteId">
    <vt:lpwstr>e0d54a3c-7bbe-4a64-9d46-f9f84a41c833</vt:lpwstr>
  </property>
  <property fmtid="{D5CDD505-2E9C-101B-9397-08002B2CF9AE}" pid="10" name="MSIP_Label_834ed4f5-eae4-40c7-82be-b1cdf720a1b9_ActionId">
    <vt:lpwstr>1989bb45-c823-4cc2-be10-28717f441d2c</vt:lpwstr>
  </property>
  <property fmtid="{D5CDD505-2E9C-101B-9397-08002B2CF9AE}" pid="11" name="MSIP_Label_834ed4f5-eae4-40c7-82be-b1cdf720a1b9_ContentBits">
    <vt:lpwstr>0</vt:lpwstr>
  </property>
  <property fmtid="{D5CDD505-2E9C-101B-9397-08002B2CF9AE}" pid="12" name="MSIP_Label_834ed4f5-eae4-40c7-82be-b1cdf720a1b9_Tag">
    <vt:lpwstr>10, 3, 0, 1</vt:lpwstr>
  </property>
  <property fmtid="{D5CDD505-2E9C-101B-9397-08002B2CF9AE}" pid="13" name="_NewReviewCycle">
    <vt:lpwstr/>
  </property>
  <property fmtid="{D5CDD505-2E9C-101B-9397-08002B2CF9AE}" pid="14" name="Order">
    <vt:r8>2427700</vt:r8>
  </property>
</Properties>
</file>